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ind w:left="-284" w:right="-376" w:firstLine="0"/>
        <w:rPr>
          <w:b w:val="1"/>
          <w:sz w:val="20"/>
          <w:szCs w:val="20"/>
        </w:rPr>
      </w:pPr>
      <w:r w:rsidDel="00000000" w:rsidR="00000000" w:rsidRPr="00000000">
        <w:rPr>
          <w:rtl w:val="0"/>
        </w:rPr>
      </w:r>
    </w:p>
    <w:p w:rsidR="00000000" w:rsidDel="00000000" w:rsidP="00000000" w:rsidRDefault="00000000" w:rsidRPr="00000000" w14:paraId="00000002">
      <w:pPr>
        <w:spacing w:line="240" w:lineRule="auto"/>
        <w:ind w:left="-284" w:right="-376" w:firstLine="0"/>
        <w:jc w:val="center"/>
        <w:rPr>
          <w:b w:val="1"/>
          <w:sz w:val="28"/>
          <w:szCs w:val="28"/>
        </w:rPr>
      </w:pPr>
      <w:r w:rsidDel="00000000" w:rsidR="00000000" w:rsidRPr="00000000">
        <w:rPr>
          <w:b w:val="1"/>
          <w:sz w:val="28"/>
          <w:szCs w:val="28"/>
          <w:rtl w:val="0"/>
        </w:rPr>
        <w:t xml:space="preserve">Quálitas continúa con paso firme, consolidando su liderazgo en México y acelerando su crecimiento en el extranjero</w:t>
      </w:r>
    </w:p>
    <w:p w:rsidR="00000000" w:rsidDel="00000000" w:rsidP="00000000" w:rsidRDefault="00000000" w:rsidRPr="00000000" w14:paraId="00000003">
      <w:pPr>
        <w:spacing w:line="240" w:lineRule="auto"/>
        <w:ind w:left="-284" w:right="-376" w:firstLine="0"/>
        <w:jc w:val="center"/>
        <w:rPr>
          <w:b w:val="1"/>
          <w:sz w:val="28"/>
          <w:szCs w:val="28"/>
        </w:rPr>
      </w:pPr>
      <w:r w:rsidDel="00000000" w:rsidR="00000000" w:rsidRPr="00000000">
        <w:rPr>
          <w:rtl w:val="0"/>
        </w:rPr>
      </w:r>
    </w:p>
    <w:p w:rsidR="00000000" w:rsidDel="00000000" w:rsidP="00000000" w:rsidRDefault="00000000" w:rsidRPr="00000000" w14:paraId="00000004">
      <w:pPr>
        <w:numPr>
          <w:ilvl w:val="0"/>
          <w:numId w:val="1"/>
        </w:numPr>
        <w:spacing w:line="240" w:lineRule="auto"/>
        <w:ind w:left="-284" w:right="-376" w:hanging="360.00000000000006"/>
        <w:jc w:val="center"/>
        <w:rPr>
          <w:i w:val="1"/>
        </w:rPr>
      </w:pPr>
      <w:r w:rsidDel="00000000" w:rsidR="00000000" w:rsidRPr="00000000">
        <w:rPr>
          <w:i w:val="1"/>
          <w:rtl w:val="0"/>
        </w:rPr>
        <w:t xml:space="preserve">A través de los apoyos a los asegurados, mismos que continuará hacia el cierre de año, Quálitas logró mantener un crecimiento en prima a pesar del complicado entorno.</w:t>
      </w:r>
    </w:p>
    <w:p w:rsidR="00000000" w:rsidDel="00000000" w:rsidP="00000000" w:rsidRDefault="00000000" w:rsidRPr="00000000" w14:paraId="00000005">
      <w:pPr>
        <w:numPr>
          <w:ilvl w:val="0"/>
          <w:numId w:val="1"/>
        </w:numPr>
        <w:spacing w:line="240" w:lineRule="auto"/>
        <w:ind w:left="-284" w:right="-376" w:hanging="360.00000000000006"/>
        <w:jc w:val="center"/>
        <w:rPr>
          <w:i w:val="1"/>
        </w:rPr>
      </w:pPr>
      <w:r w:rsidDel="00000000" w:rsidR="00000000" w:rsidRPr="00000000">
        <w:rPr>
          <w:i w:val="1"/>
          <w:rtl w:val="0"/>
        </w:rPr>
        <w:t xml:space="preserve">La compañía registró uno de los índices combinados más bajos en su historia, impulsados por una baja siniestralidad y los continuos esfuerzos en prevención de riesgos y fraudes.</w:t>
      </w:r>
    </w:p>
    <w:p w:rsidR="00000000" w:rsidDel="00000000" w:rsidP="00000000" w:rsidRDefault="00000000" w:rsidRPr="00000000" w14:paraId="00000006">
      <w:pPr>
        <w:numPr>
          <w:ilvl w:val="0"/>
          <w:numId w:val="1"/>
        </w:numPr>
        <w:spacing w:line="240" w:lineRule="auto"/>
        <w:ind w:left="-284" w:right="-376" w:hanging="360.00000000000006"/>
        <w:jc w:val="center"/>
        <w:rPr>
          <w:i w:val="1"/>
        </w:rPr>
      </w:pPr>
      <w:r w:rsidDel="00000000" w:rsidR="00000000" w:rsidRPr="00000000">
        <w:rPr>
          <w:i w:val="1"/>
          <w:rtl w:val="0"/>
        </w:rPr>
        <w:t xml:space="preserve">Las subsidiarias en el extranjero y no aseguradoras tuvieron un aumento de 61% respecto al 3T2019</w:t>
      </w:r>
    </w:p>
    <w:p w:rsidR="00000000" w:rsidDel="00000000" w:rsidP="00000000" w:rsidRDefault="00000000" w:rsidRPr="00000000" w14:paraId="00000007">
      <w:pPr>
        <w:spacing w:line="240" w:lineRule="auto"/>
        <w:ind w:left="-284" w:right="-376" w:firstLine="0"/>
        <w:rPr/>
      </w:pPr>
      <w:r w:rsidDel="00000000" w:rsidR="00000000" w:rsidRPr="00000000">
        <w:rPr>
          <w:rtl w:val="0"/>
        </w:rPr>
        <w:t xml:space="preserve"> </w:t>
      </w:r>
    </w:p>
    <w:p w:rsidR="00000000" w:rsidDel="00000000" w:rsidP="00000000" w:rsidRDefault="00000000" w:rsidRPr="00000000" w14:paraId="00000008">
      <w:pPr>
        <w:spacing w:line="240" w:lineRule="auto"/>
        <w:ind w:left="-284" w:right="-376" w:firstLine="0"/>
        <w:jc w:val="both"/>
        <w:rPr/>
      </w:pPr>
      <w:r w:rsidDel="00000000" w:rsidR="00000000" w:rsidRPr="00000000">
        <w:rPr>
          <w:b w:val="1"/>
          <w:rtl w:val="0"/>
        </w:rPr>
        <w:t xml:space="preserve">Ciudad de México a 21 de octubre de 2020 - </w:t>
      </w:r>
      <w:r w:rsidDel="00000000" w:rsidR="00000000" w:rsidRPr="00000000">
        <w:rPr>
          <w:rtl w:val="0"/>
        </w:rPr>
        <w:t xml:space="preserve">Quálitas presentó sus resultados financieros no auditados correspondientes al tercer trimestre del 2020, en donde se destaca el crecimiento en prima emitida trimestral y acumulado, así como un aumento del 40% en la utilidad neta durante los primeros 9 meses del año. </w:t>
      </w:r>
    </w:p>
    <w:p w:rsidR="00000000" w:rsidDel="00000000" w:rsidP="00000000" w:rsidRDefault="00000000" w:rsidRPr="00000000" w14:paraId="00000009">
      <w:pPr>
        <w:spacing w:line="240" w:lineRule="auto"/>
        <w:ind w:left="-284" w:right="-376" w:firstLine="0"/>
        <w:jc w:val="both"/>
        <w:rPr/>
      </w:pPr>
      <w:r w:rsidDel="00000000" w:rsidR="00000000" w:rsidRPr="00000000">
        <w:rPr>
          <w:rtl w:val="0"/>
        </w:rPr>
      </w:r>
    </w:p>
    <w:p w:rsidR="00000000" w:rsidDel="00000000" w:rsidP="00000000" w:rsidRDefault="00000000" w:rsidRPr="00000000" w14:paraId="0000000A">
      <w:pPr>
        <w:spacing w:line="240" w:lineRule="auto"/>
        <w:ind w:left="-284" w:right="-376" w:firstLine="0"/>
        <w:jc w:val="both"/>
        <w:rPr/>
      </w:pPr>
      <w:r w:rsidDel="00000000" w:rsidR="00000000" w:rsidRPr="00000000">
        <w:rPr>
          <w:rtl w:val="0"/>
        </w:rPr>
        <w:t xml:space="preserve">El crecimiento fue impulsado por las acciones en apoyo a los asegurados ante el entorno global, así como por el desempeño de sus subsidiarias en el extranjero y no aseguradoras, que han tomado una mayor relevancia y se han convertido en un motor de crecimiento de la compañía. representando el 8.9% de la emisión total de la controladora.</w:t>
      </w:r>
    </w:p>
    <w:p w:rsidR="00000000" w:rsidDel="00000000" w:rsidP="00000000" w:rsidRDefault="00000000" w:rsidRPr="00000000" w14:paraId="0000000B">
      <w:pPr>
        <w:spacing w:line="240" w:lineRule="auto"/>
        <w:ind w:left="-284" w:right="-376" w:firstLine="0"/>
        <w:jc w:val="both"/>
        <w:rPr/>
      </w:pPr>
      <w:r w:rsidDel="00000000" w:rsidR="00000000" w:rsidRPr="00000000">
        <w:rPr>
          <w:rtl w:val="0"/>
        </w:rPr>
      </w:r>
    </w:p>
    <w:p w:rsidR="00000000" w:rsidDel="00000000" w:rsidP="00000000" w:rsidRDefault="00000000" w:rsidRPr="00000000" w14:paraId="0000000C">
      <w:pPr>
        <w:spacing w:line="240" w:lineRule="auto"/>
        <w:ind w:left="-284" w:right="-376" w:firstLine="0"/>
        <w:jc w:val="both"/>
        <w:rPr/>
      </w:pPr>
      <w:r w:rsidDel="00000000" w:rsidR="00000000" w:rsidRPr="00000000">
        <w:rPr>
          <w:rtl w:val="0"/>
        </w:rPr>
        <w:t xml:space="preserve">La utilidad neta acumulada durante el tercer trimestre de 2020, fue de $1,657 millones de pesos, lo que representa un crecimiento del 25.2% en comparación con el año pasado, siendo el </w:t>
      </w:r>
      <w:r w:rsidDel="00000000" w:rsidR="00000000" w:rsidRPr="00000000">
        <w:rPr>
          <w:b w:val="1"/>
          <w:rtl w:val="0"/>
        </w:rPr>
        <w:t xml:space="preserve">segundo mejor resultado</w:t>
      </w:r>
      <w:r w:rsidDel="00000000" w:rsidR="00000000" w:rsidRPr="00000000">
        <w:rPr>
          <w:rtl w:val="0"/>
        </w:rPr>
        <w:t xml:space="preserve"> desde la fundación de la Compañía. La utilidad acumulada se posicionó en 5,334 millones de pesos, lo que representa 40% más que en los primeros nueve meses de 2019.</w:t>
      </w:r>
    </w:p>
    <w:p w:rsidR="00000000" w:rsidDel="00000000" w:rsidP="00000000" w:rsidRDefault="00000000" w:rsidRPr="00000000" w14:paraId="0000000D">
      <w:pPr>
        <w:spacing w:line="240" w:lineRule="auto"/>
        <w:ind w:left="-284" w:right="-376" w:firstLine="0"/>
        <w:jc w:val="both"/>
        <w:rPr/>
      </w:pPr>
      <w:r w:rsidDel="00000000" w:rsidR="00000000" w:rsidRPr="00000000">
        <w:rPr>
          <w:rtl w:val="0"/>
        </w:rPr>
      </w:r>
    </w:p>
    <w:p w:rsidR="00000000" w:rsidDel="00000000" w:rsidP="00000000" w:rsidRDefault="00000000" w:rsidRPr="00000000" w14:paraId="0000000E">
      <w:pPr>
        <w:spacing w:line="240" w:lineRule="auto"/>
        <w:ind w:left="-284" w:right="-376" w:firstLine="0"/>
        <w:jc w:val="both"/>
        <w:rPr/>
      </w:pPr>
      <w:r w:rsidDel="00000000" w:rsidR="00000000" w:rsidRPr="00000000">
        <w:rPr>
          <w:rtl w:val="0"/>
        </w:rPr>
        <w:t xml:space="preserve">Al cierre del trimestre, Quálitas emitió $8,656 millones de pesos lo que representa un crecimiento de 0.5% en comparación con el 3T19, y de $25,356 millones en términos acumulados, 0.4%. En cuanto al número total de unidades aseguradas durante el tercer trimestre del año es de 4.2 millones, casi en línea con lo que las unidades aseguradas al inicio del año. . Lo anterior, destaca la capacidad de Quálitas de crear valor y mantenerse como líderes del mercado ante el contexto actual. </w:t>
      </w:r>
    </w:p>
    <w:p w:rsidR="00000000" w:rsidDel="00000000" w:rsidP="00000000" w:rsidRDefault="00000000" w:rsidRPr="00000000" w14:paraId="0000000F">
      <w:pPr>
        <w:spacing w:line="240" w:lineRule="auto"/>
        <w:ind w:left="-284" w:right="-376" w:firstLine="0"/>
        <w:jc w:val="both"/>
        <w:rPr/>
      </w:pPr>
      <w:r w:rsidDel="00000000" w:rsidR="00000000" w:rsidRPr="00000000">
        <w:rPr>
          <w:rtl w:val="0"/>
        </w:rPr>
      </w:r>
    </w:p>
    <w:p w:rsidR="00000000" w:rsidDel="00000000" w:rsidP="00000000" w:rsidRDefault="00000000" w:rsidRPr="00000000" w14:paraId="00000010">
      <w:pPr>
        <w:spacing w:line="240" w:lineRule="auto"/>
        <w:ind w:left="-284" w:right="-376" w:firstLine="0"/>
        <w:jc w:val="both"/>
        <w:rPr>
          <w:rFonts w:ascii="Times New Roman" w:cs="Times New Roman" w:eastAsia="Times New Roman" w:hAnsi="Times New Roman"/>
        </w:rPr>
      </w:pPr>
      <w:r w:rsidDel="00000000" w:rsidR="00000000" w:rsidRPr="00000000">
        <w:rPr>
          <w:rtl w:val="0"/>
        </w:rPr>
        <w:t xml:space="preserve">Así mismo, la prima devengada tuvo un crecimiento trimestral del 2.7%, y del 6.3% en términos acumulados, impulsado en su mayoría por el devengamiento de pólizas multianuales.</w:t>
      </w:r>
      <w:r w:rsidDel="00000000" w:rsidR="00000000" w:rsidRPr="00000000">
        <w:rPr>
          <w:rtl w:val="0"/>
        </w:rPr>
      </w:r>
    </w:p>
    <w:p w:rsidR="00000000" w:rsidDel="00000000" w:rsidP="00000000" w:rsidRDefault="00000000" w:rsidRPr="00000000" w14:paraId="00000011">
      <w:pPr>
        <w:spacing w:line="240" w:lineRule="auto"/>
        <w:ind w:left="-284" w:right="-376" w:firstLine="0"/>
        <w:jc w:val="both"/>
        <w:rPr/>
      </w:pPr>
      <w:r w:rsidDel="00000000" w:rsidR="00000000" w:rsidRPr="00000000">
        <w:rPr>
          <w:rtl w:val="0"/>
        </w:rPr>
      </w:r>
    </w:p>
    <w:p w:rsidR="00000000" w:rsidDel="00000000" w:rsidP="00000000" w:rsidRDefault="00000000" w:rsidRPr="00000000" w14:paraId="00000012">
      <w:pPr>
        <w:spacing w:line="240" w:lineRule="auto"/>
        <w:ind w:left="-284" w:right="-376" w:firstLine="0"/>
        <w:jc w:val="both"/>
        <w:rPr/>
      </w:pPr>
      <w:r w:rsidDel="00000000" w:rsidR="00000000" w:rsidRPr="00000000">
        <w:rPr>
          <w:rtl w:val="0"/>
        </w:rPr>
        <w:t xml:space="preserve">Se atendieron 26% menos siniestros contra el 3T19, derivado de una menor movilidad en las ciudades, así como por los continuos esfuerzos que realiza la compañía en </w:t>
      </w:r>
      <w:r w:rsidDel="00000000" w:rsidR="00000000" w:rsidRPr="00000000">
        <w:rPr>
          <w:b w:val="1"/>
          <w:rtl w:val="0"/>
        </w:rPr>
        <w:t xml:space="preserve">prevención de riesgos</w:t>
      </w:r>
      <w:r w:rsidDel="00000000" w:rsidR="00000000" w:rsidRPr="00000000">
        <w:rPr>
          <w:rtl w:val="0"/>
        </w:rPr>
        <w:t xml:space="preserve"> para disminuir la siniestralidad, principalmente en clientes con equipo pesado. Esta baja siniestralidad ha permitido reducir las tarifas que pagan nuestros asegurados. </w:t>
      </w:r>
    </w:p>
    <w:p w:rsidR="00000000" w:rsidDel="00000000" w:rsidP="00000000" w:rsidRDefault="00000000" w:rsidRPr="00000000" w14:paraId="00000013">
      <w:pPr>
        <w:spacing w:line="240" w:lineRule="auto"/>
        <w:ind w:right="-376"/>
        <w:jc w:val="both"/>
        <w:rPr/>
      </w:pPr>
      <w:r w:rsidDel="00000000" w:rsidR="00000000" w:rsidRPr="00000000">
        <w:rPr>
          <w:rtl w:val="0"/>
        </w:rPr>
      </w:r>
    </w:p>
    <w:p w:rsidR="00000000" w:rsidDel="00000000" w:rsidP="00000000" w:rsidRDefault="00000000" w:rsidRPr="00000000" w14:paraId="00000014">
      <w:pPr>
        <w:spacing w:line="240" w:lineRule="auto"/>
        <w:ind w:left="-284" w:right="-376" w:firstLine="0"/>
        <w:jc w:val="both"/>
        <w:rPr/>
      </w:pPr>
      <w:r w:rsidDel="00000000" w:rsidR="00000000" w:rsidRPr="00000000">
        <w:rPr>
          <w:rtl w:val="0"/>
        </w:rPr>
        <w:t xml:space="preserve">En temas de robos, la industria continúa con una tendencia positiva, de acuerdo con las cifras reportadas por OCRA, beneficiando en mayor medida a Quálitas. Disminuyendo al término del tercer trimestre 20.4%; 1,3 puntos porcentuales menos que la industria.</w:t>
      </w:r>
    </w:p>
    <w:p w:rsidR="00000000" w:rsidDel="00000000" w:rsidP="00000000" w:rsidRDefault="00000000" w:rsidRPr="00000000" w14:paraId="00000015">
      <w:pPr>
        <w:spacing w:line="240" w:lineRule="auto"/>
        <w:ind w:left="-284" w:right="-376" w:firstLine="0"/>
        <w:jc w:val="both"/>
        <w:rPr/>
      </w:pPr>
      <w:r w:rsidDel="00000000" w:rsidR="00000000" w:rsidRPr="00000000">
        <w:rPr>
          <w:rtl w:val="0"/>
        </w:rPr>
      </w:r>
    </w:p>
    <w:p w:rsidR="00000000" w:rsidDel="00000000" w:rsidP="00000000" w:rsidRDefault="00000000" w:rsidRPr="00000000" w14:paraId="00000016">
      <w:pPr>
        <w:spacing w:line="240" w:lineRule="auto"/>
        <w:ind w:left="-284" w:right="-376" w:firstLine="0"/>
        <w:jc w:val="both"/>
        <w:rPr/>
      </w:pPr>
      <w:r w:rsidDel="00000000" w:rsidR="00000000" w:rsidRPr="00000000">
        <w:rPr>
          <w:i w:val="1"/>
          <w:rtl w:val="0"/>
        </w:rPr>
        <w:t xml:space="preserve">“Estos resultados son generados gracias a la flexibilidad y cercanía de Quálitas con sus clientes, entendiendo sus necesidades y diseñando productos personalizados, lo que se ha convertido en una de nuestras más importantes ventajas competitivas. Igualmente, nuestros esfuerzos para reducir accidentes y robos han sido sumamente importante para entregar estos resultados.”, </w:t>
      </w:r>
      <w:r w:rsidDel="00000000" w:rsidR="00000000" w:rsidRPr="00000000">
        <w:rPr>
          <w:rtl w:val="0"/>
        </w:rPr>
        <w:t xml:space="preserve">comenta Bernardo Risoul, Director de Finanzas de Quálitas.  </w:t>
      </w:r>
    </w:p>
    <w:p w:rsidR="00000000" w:rsidDel="00000000" w:rsidP="00000000" w:rsidRDefault="00000000" w:rsidRPr="00000000" w14:paraId="00000017">
      <w:pPr>
        <w:spacing w:line="240" w:lineRule="auto"/>
        <w:ind w:left="-284" w:right="-376" w:firstLine="0"/>
        <w:jc w:val="both"/>
        <w:rPr/>
      </w:pPr>
      <w:r w:rsidDel="00000000" w:rsidR="00000000" w:rsidRPr="00000000">
        <w:rPr>
          <w:rtl w:val="0"/>
        </w:rPr>
      </w:r>
    </w:p>
    <w:p w:rsidR="00000000" w:rsidDel="00000000" w:rsidP="00000000" w:rsidRDefault="00000000" w:rsidRPr="00000000" w14:paraId="00000018">
      <w:pPr>
        <w:spacing w:line="240" w:lineRule="auto"/>
        <w:ind w:left="-284" w:right="-376" w:firstLine="0"/>
        <w:jc w:val="both"/>
        <w:rPr>
          <w:b w:val="1"/>
        </w:rPr>
      </w:pPr>
      <w:r w:rsidDel="00000000" w:rsidR="00000000" w:rsidRPr="00000000">
        <w:rPr>
          <w:b w:val="1"/>
          <w:rtl w:val="0"/>
        </w:rPr>
        <w:t xml:space="preserve">Razones financieras</w:t>
      </w:r>
    </w:p>
    <w:p w:rsidR="00000000" w:rsidDel="00000000" w:rsidP="00000000" w:rsidRDefault="00000000" w:rsidRPr="00000000" w14:paraId="00000019">
      <w:pPr>
        <w:spacing w:line="240" w:lineRule="auto"/>
        <w:ind w:left="-284" w:right="-376" w:firstLine="0"/>
        <w:jc w:val="both"/>
        <w:rPr/>
      </w:pPr>
      <w:r w:rsidDel="00000000" w:rsidR="00000000" w:rsidRPr="00000000">
        <w:rPr>
          <w:rtl w:val="0"/>
        </w:rPr>
      </w:r>
    </w:p>
    <w:p w:rsidR="00000000" w:rsidDel="00000000" w:rsidP="00000000" w:rsidRDefault="00000000" w:rsidRPr="00000000" w14:paraId="0000001A">
      <w:pPr>
        <w:spacing w:line="240" w:lineRule="auto"/>
        <w:ind w:left="-284" w:right="-376" w:firstLine="0"/>
        <w:jc w:val="both"/>
        <w:rPr/>
      </w:pPr>
      <w:r w:rsidDel="00000000" w:rsidR="00000000" w:rsidRPr="00000000">
        <w:rPr>
          <w:rtl w:val="0"/>
        </w:rPr>
        <w:t xml:space="preserve">La compañía registró un margen operativo de 19.7%, que se compara con el 12.8% registrado en el tercer trimestre del 2019.</w:t>
      </w:r>
    </w:p>
    <w:p w:rsidR="00000000" w:rsidDel="00000000" w:rsidP="00000000" w:rsidRDefault="00000000" w:rsidRPr="00000000" w14:paraId="0000001B">
      <w:pPr>
        <w:spacing w:line="240" w:lineRule="auto"/>
        <w:ind w:left="-284" w:right="-376" w:firstLine="0"/>
        <w:jc w:val="both"/>
        <w:rPr/>
      </w:pPr>
      <w:r w:rsidDel="00000000" w:rsidR="00000000" w:rsidRPr="00000000">
        <w:rPr>
          <w:rtl w:val="0"/>
        </w:rPr>
      </w:r>
    </w:p>
    <w:p w:rsidR="00000000" w:rsidDel="00000000" w:rsidP="00000000" w:rsidRDefault="00000000" w:rsidRPr="00000000" w14:paraId="0000001C">
      <w:pPr>
        <w:spacing w:line="240" w:lineRule="auto"/>
        <w:ind w:left="-284" w:right="-376" w:firstLine="0"/>
        <w:jc w:val="both"/>
        <w:rPr/>
      </w:pPr>
      <w:r w:rsidDel="00000000" w:rsidR="00000000" w:rsidRPr="00000000">
        <w:rPr>
          <w:rtl w:val="0"/>
        </w:rPr>
        <w:t xml:space="preserve">La utilidad neta del trimestre cerró en $1,657 millones de pesos, $333 millones más que en el mismo periodo del año pasado, llegando a $5,334 millones en los primeros 9 meses del año, siendo el segundo mejor resultado en la historia de la aseguradora. </w:t>
      </w:r>
    </w:p>
    <w:p w:rsidR="00000000" w:rsidDel="00000000" w:rsidP="00000000" w:rsidRDefault="00000000" w:rsidRPr="00000000" w14:paraId="0000001D">
      <w:pPr>
        <w:spacing w:line="240" w:lineRule="auto"/>
        <w:ind w:left="-284" w:right="-376" w:firstLine="0"/>
        <w:jc w:val="both"/>
        <w:rPr/>
      </w:pPr>
      <w:r w:rsidDel="00000000" w:rsidR="00000000" w:rsidRPr="00000000">
        <w:rPr>
          <w:rtl w:val="0"/>
        </w:rPr>
      </w:r>
    </w:p>
    <w:p w:rsidR="00000000" w:rsidDel="00000000" w:rsidP="00000000" w:rsidRDefault="00000000" w:rsidRPr="00000000" w14:paraId="0000001E">
      <w:pPr>
        <w:spacing w:line="240" w:lineRule="auto"/>
        <w:ind w:left="-284" w:right="-376" w:firstLine="0"/>
        <w:jc w:val="both"/>
        <w:rPr/>
      </w:pPr>
      <w:r w:rsidDel="00000000" w:rsidR="00000000" w:rsidRPr="00000000">
        <w:rPr>
          <w:rtl w:val="0"/>
        </w:rPr>
        <w:t xml:space="preserve">En términos acumulados, la acción Q* cerró en términos acumulados se mantiene en terreno positivo con un rendimiento del 6.9% en lo que va del año. Una de las pocas emisoras que mantiene una tendencia positiva y significativamente mejor que el IPC, con un rendimiento negativo acumulado del 14%.</w:t>
      </w:r>
    </w:p>
    <w:p w:rsidR="00000000" w:rsidDel="00000000" w:rsidP="00000000" w:rsidRDefault="00000000" w:rsidRPr="00000000" w14:paraId="0000001F">
      <w:pPr>
        <w:spacing w:line="240" w:lineRule="auto"/>
        <w:ind w:left="-284" w:right="-376" w:firstLine="0"/>
        <w:jc w:val="both"/>
        <w:rPr/>
      </w:pPr>
      <w:r w:rsidDel="00000000" w:rsidR="00000000" w:rsidRPr="00000000">
        <w:rPr>
          <w:rtl w:val="0"/>
        </w:rPr>
      </w:r>
    </w:p>
    <w:p w:rsidR="00000000" w:rsidDel="00000000" w:rsidP="00000000" w:rsidRDefault="00000000" w:rsidRPr="00000000" w14:paraId="00000020">
      <w:pPr>
        <w:spacing w:line="240" w:lineRule="auto"/>
        <w:ind w:left="-284" w:right="-376" w:firstLine="0"/>
        <w:jc w:val="both"/>
        <w:rPr/>
      </w:pPr>
      <w:r w:rsidDel="00000000" w:rsidR="00000000" w:rsidRPr="00000000">
        <w:rPr>
          <w:rtl w:val="0"/>
        </w:rPr>
        <w:t xml:space="preserve">La emisora avanzó 2 lugares en el índice de bursatilidad durante el año, pasando del lugar 25 al lugar 23 al cierre de septiembre. Considerándose como una acción de alta bursatilidad.</w:t>
      </w:r>
    </w:p>
    <w:p w:rsidR="00000000" w:rsidDel="00000000" w:rsidP="00000000" w:rsidRDefault="00000000" w:rsidRPr="00000000" w14:paraId="00000021">
      <w:pPr>
        <w:spacing w:line="240" w:lineRule="auto"/>
        <w:ind w:left="-284" w:right="-376" w:firstLine="0"/>
        <w:jc w:val="both"/>
        <w:rPr>
          <w:highlight w:val="yellow"/>
        </w:rPr>
      </w:pPr>
      <w:r w:rsidDel="00000000" w:rsidR="00000000" w:rsidRPr="00000000">
        <w:rPr>
          <w:rtl w:val="0"/>
        </w:rPr>
      </w:r>
    </w:p>
    <w:p w:rsidR="00000000" w:rsidDel="00000000" w:rsidP="00000000" w:rsidRDefault="00000000" w:rsidRPr="00000000" w14:paraId="00000022">
      <w:pPr>
        <w:spacing w:line="240" w:lineRule="auto"/>
        <w:ind w:left="-284" w:right="-376" w:firstLine="0"/>
        <w:jc w:val="both"/>
        <w:rPr/>
      </w:pPr>
      <w:r w:rsidDel="00000000" w:rsidR="00000000" w:rsidRPr="00000000">
        <w:rPr>
          <w:rtl w:val="0"/>
        </w:rPr>
        <w:t xml:space="preserve">La UPA cerró en $16.6 que se compara con $10.5 en el 3T19. El margen neto trimestral fue del 19.1% y el ROE 12M se posicionó en 45.7%, muy por encima de otras empresas aseguradoras públicas. El P/U cerró en 5.0, y el P/VL se posicionó en 1.9.</w:t>
      </w:r>
    </w:p>
    <w:p w:rsidR="00000000" w:rsidDel="00000000" w:rsidP="00000000" w:rsidRDefault="00000000" w:rsidRPr="00000000" w14:paraId="00000023">
      <w:pPr>
        <w:spacing w:line="240" w:lineRule="auto"/>
        <w:ind w:left="-284" w:right="-376" w:firstLine="0"/>
        <w:jc w:val="both"/>
        <w:rPr>
          <w:b w:val="1"/>
          <w:sz w:val="20"/>
          <w:szCs w:val="20"/>
        </w:rPr>
      </w:pPr>
      <w:r w:rsidDel="00000000" w:rsidR="00000000" w:rsidRPr="00000000">
        <w:rPr>
          <w:rtl w:val="0"/>
        </w:rPr>
      </w:r>
    </w:p>
    <w:p w:rsidR="00000000" w:rsidDel="00000000" w:rsidP="00000000" w:rsidRDefault="00000000" w:rsidRPr="00000000" w14:paraId="00000024">
      <w:pPr>
        <w:spacing w:line="240" w:lineRule="auto"/>
        <w:ind w:left="-284" w:right="-376" w:firstLine="0"/>
        <w:jc w:val="both"/>
        <w:rPr>
          <w:b w:val="1"/>
          <w:sz w:val="20"/>
          <w:szCs w:val="20"/>
        </w:rPr>
      </w:pPr>
      <w:r w:rsidDel="00000000" w:rsidR="00000000" w:rsidRPr="00000000">
        <w:rPr>
          <w:rtl w:val="0"/>
        </w:rPr>
      </w:r>
    </w:p>
    <w:p w:rsidR="00000000" w:rsidDel="00000000" w:rsidP="00000000" w:rsidRDefault="00000000" w:rsidRPr="00000000" w14:paraId="00000025">
      <w:pPr>
        <w:spacing w:line="240" w:lineRule="auto"/>
        <w:ind w:left="-284" w:right="-376" w:firstLine="0"/>
        <w:jc w:val="both"/>
        <w:rPr>
          <w:sz w:val="20"/>
          <w:szCs w:val="20"/>
        </w:rPr>
      </w:pPr>
      <w:r w:rsidDel="00000000" w:rsidR="00000000" w:rsidRPr="00000000">
        <w:rPr>
          <w:b w:val="1"/>
          <w:sz w:val="20"/>
          <w:szCs w:val="20"/>
          <w:rtl w:val="0"/>
        </w:rPr>
        <w:t xml:space="preserve">Acerca de Quálitas</w:t>
      </w:r>
      <w:r w:rsidDel="00000000" w:rsidR="00000000" w:rsidRPr="00000000">
        <w:rPr>
          <w:rtl w:val="0"/>
        </w:rPr>
      </w:r>
    </w:p>
    <w:p w:rsidR="00000000" w:rsidDel="00000000" w:rsidP="00000000" w:rsidRDefault="00000000" w:rsidRPr="00000000" w14:paraId="00000026">
      <w:pPr>
        <w:spacing w:line="240" w:lineRule="auto"/>
        <w:ind w:left="-284" w:right="-376" w:firstLine="0"/>
        <w:jc w:val="both"/>
        <w:rPr>
          <w:b w:val="1"/>
          <w:sz w:val="20"/>
          <w:szCs w:val="20"/>
        </w:rPr>
      </w:pPr>
      <w:r w:rsidDel="00000000" w:rsidR="00000000" w:rsidRPr="00000000">
        <w:rPr>
          <w:rtl w:val="0"/>
        </w:rPr>
      </w:r>
    </w:p>
    <w:p w:rsidR="00000000" w:rsidDel="00000000" w:rsidP="00000000" w:rsidRDefault="00000000" w:rsidRPr="00000000" w14:paraId="00000027">
      <w:pPr>
        <w:spacing w:line="240" w:lineRule="auto"/>
        <w:ind w:left="-284" w:right="-376" w:firstLine="0"/>
        <w:jc w:val="both"/>
        <w:rPr>
          <w:sz w:val="20"/>
          <w:szCs w:val="20"/>
        </w:rPr>
      </w:pPr>
      <w:r w:rsidDel="00000000" w:rsidR="00000000" w:rsidRPr="00000000">
        <w:rPr>
          <w:sz w:val="20"/>
          <w:szCs w:val="20"/>
          <w:rtl w:val="0"/>
        </w:rPr>
        <w:t xml:space="preserve">Con más de 26 años de experiencia, Quálitas Controladora es la compañía con mayor participación de mercado en la industria del seguro automotriz en México y cuenta con presencia en Estados Unidos, Perú, Costa Rica y El Salvador. Su modelo de negocios único, basado en la excelencia en el servicio y una estricta política de control de costos, le ha permitido ofrecer un servicio de primera calidad bajo la red de cobertura más grande del país. Quálitas cotiza en la Bolsa Mexicana de Valores bajo el símbolo “Q” (Bloomberg: Q*:MM)</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28">
      <w:pPr>
        <w:spacing w:line="240" w:lineRule="auto"/>
        <w:ind w:left="-284" w:right="-376" w:firstLine="0"/>
        <w:jc w:val="both"/>
        <w:rPr>
          <w:color w:val="1155cc"/>
          <w:sz w:val="20"/>
          <w:szCs w:val="20"/>
          <w:u w:val="single"/>
        </w:rPr>
      </w:pPr>
      <w:hyperlink r:id="rId7">
        <w:r w:rsidDel="00000000" w:rsidR="00000000" w:rsidRPr="00000000">
          <w:rPr>
            <w:color w:val="1155cc"/>
            <w:sz w:val="20"/>
            <w:szCs w:val="20"/>
            <w:u w:val="single"/>
            <w:rtl w:val="0"/>
          </w:rPr>
          <w:t xml:space="preserve">www.qualitas.com.mx/</w:t>
        </w:r>
      </w:hyperlink>
      <w:r w:rsidDel="00000000" w:rsidR="00000000" w:rsidRPr="00000000">
        <w:rPr>
          <w:rtl w:val="0"/>
        </w:rPr>
      </w:r>
    </w:p>
    <w:p w:rsidR="00000000" w:rsidDel="00000000" w:rsidP="00000000" w:rsidRDefault="00000000" w:rsidRPr="00000000" w14:paraId="00000029">
      <w:pPr>
        <w:spacing w:line="240" w:lineRule="auto"/>
        <w:ind w:left="-284" w:right="-376" w:firstLine="0"/>
        <w:jc w:val="both"/>
        <w:rPr>
          <w:color w:val="1155cc"/>
          <w:sz w:val="20"/>
          <w:szCs w:val="20"/>
          <w:u w:val="single"/>
        </w:rPr>
      </w:pPr>
      <w:r w:rsidDel="00000000" w:rsidR="00000000" w:rsidRPr="00000000">
        <w:rPr>
          <w:rtl w:val="0"/>
        </w:rPr>
      </w:r>
    </w:p>
    <w:p w:rsidR="00000000" w:rsidDel="00000000" w:rsidP="00000000" w:rsidRDefault="00000000" w:rsidRPr="00000000" w14:paraId="0000002A">
      <w:pPr>
        <w:spacing w:line="240" w:lineRule="auto"/>
        <w:ind w:left="-284" w:right="-376" w:firstLine="0"/>
        <w:jc w:val="both"/>
        <w:rPr>
          <w:rFonts w:ascii="Times New Roman" w:cs="Times New Roman" w:eastAsia="Times New Roman" w:hAnsi="Times New Roman"/>
          <w:sz w:val="24"/>
          <w:szCs w:val="24"/>
        </w:rPr>
      </w:pPr>
      <w:r w:rsidDel="00000000" w:rsidR="00000000" w:rsidRPr="00000000">
        <w:rPr>
          <w:b w:val="1"/>
          <w:color w:val="000000"/>
          <w:sz w:val="20"/>
          <w:szCs w:val="20"/>
          <w:rtl w:val="0"/>
        </w:rPr>
        <w:t xml:space="preserve">Contacto de prensa</w:t>
      </w:r>
      <w:r w:rsidDel="00000000" w:rsidR="00000000" w:rsidRPr="00000000">
        <w:rPr>
          <w:rtl w:val="0"/>
        </w:rPr>
      </w:r>
    </w:p>
    <w:p w:rsidR="00000000" w:rsidDel="00000000" w:rsidP="00000000" w:rsidRDefault="00000000" w:rsidRPr="00000000" w14:paraId="0000002B">
      <w:pPr>
        <w:spacing w:line="240" w:lineRule="auto"/>
        <w:ind w:left="-284" w:right="-376" w:firstLine="0"/>
        <w:jc w:val="both"/>
        <w:rPr>
          <w:rFonts w:ascii="Times New Roman" w:cs="Times New Roman" w:eastAsia="Times New Roman" w:hAnsi="Times New Roman"/>
          <w:sz w:val="24"/>
          <w:szCs w:val="24"/>
        </w:rPr>
      </w:pPr>
      <w:r w:rsidDel="00000000" w:rsidR="00000000" w:rsidRPr="00000000">
        <w:rPr>
          <w:color w:val="000000"/>
          <w:sz w:val="20"/>
          <w:szCs w:val="20"/>
          <w:rtl w:val="0"/>
        </w:rPr>
        <w:t xml:space="preserve">Fernanda Meza</w:t>
      </w:r>
      <w:r w:rsidDel="00000000" w:rsidR="00000000" w:rsidRPr="00000000">
        <w:rPr>
          <w:rtl w:val="0"/>
        </w:rPr>
      </w:r>
    </w:p>
    <w:p w:rsidR="00000000" w:rsidDel="00000000" w:rsidP="00000000" w:rsidRDefault="00000000" w:rsidRPr="00000000" w14:paraId="0000002C">
      <w:pPr>
        <w:spacing w:line="240" w:lineRule="auto"/>
        <w:ind w:left="-284" w:right="-376" w:firstLine="0"/>
        <w:jc w:val="both"/>
        <w:rPr>
          <w:rFonts w:ascii="Times New Roman" w:cs="Times New Roman" w:eastAsia="Times New Roman" w:hAnsi="Times New Roman"/>
          <w:sz w:val="24"/>
          <w:szCs w:val="24"/>
        </w:rPr>
      </w:pPr>
      <w:hyperlink r:id="rId8">
        <w:r w:rsidDel="00000000" w:rsidR="00000000" w:rsidRPr="00000000">
          <w:rPr>
            <w:color w:val="1155cc"/>
            <w:sz w:val="20"/>
            <w:szCs w:val="20"/>
            <w:u w:val="single"/>
            <w:rtl w:val="0"/>
          </w:rPr>
          <w:t xml:space="preserve">fernanda.meza@another.co</w:t>
        </w:r>
      </w:hyperlink>
      <w:r w:rsidDel="00000000" w:rsidR="00000000" w:rsidRPr="00000000">
        <w:rPr>
          <w:rtl w:val="0"/>
        </w:rPr>
      </w:r>
    </w:p>
    <w:p w:rsidR="00000000" w:rsidDel="00000000" w:rsidP="00000000" w:rsidRDefault="00000000" w:rsidRPr="00000000" w14:paraId="0000002D">
      <w:pPr>
        <w:spacing w:line="240" w:lineRule="auto"/>
        <w:ind w:left="-284" w:right="-376" w:firstLine="0"/>
        <w:jc w:val="both"/>
        <w:rPr>
          <w:rFonts w:ascii="Times New Roman" w:cs="Times New Roman" w:eastAsia="Times New Roman" w:hAnsi="Times New Roman"/>
          <w:sz w:val="24"/>
          <w:szCs w:val="24"/>
        </w:rPr>
      </w:pPr>
      <w:r w:rsidDel="00000000" w:rsidR="00000000" w:rsidRPr="00000000">
        <w:rPr>
          <w:color w:val="000000"/>
          <w:sz w:val="20"/>
          <w:szCs w:val="20"/>
          <w:rtl w:val="0"/>
        </w:rPr>
        <w:t xml:space="preserve">Cel. 6672 32 89 26</w:t>
      </w: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ind w:left="-284" w:right="-376" w:firstLine="0"/>
        <w:jc w:val="both"/>
        <w:rPr>
          <w:rFonts w:ascii="Times New Roman" w:cs="Times New Roman" w:eastAsia="Times New Roman" w:hAnsi="Times New Roman"/>
          <w:sz w:val="24"/>
          <w:szCs w:val="24"/>
        </w:rPr>
      </w:pPr>
      <w:r w:rsidDel="00000000" w:rsidR="00000000" w:rsidRPr="00000000">
        <w:rPr>
          <w:color w:val="000000"/>
          <w:sz w:val="20"/>
          <w:szCs w:val="20"/>
          <w:rtl w:val="0"/>
        </w:rPr>
        <w:t xml:space="preserve">Michael García</w:t>
      </w:r>
      <w:r w:rsidDel="00000000" w:rsidR="00000000" w:rsidRPr="00000000">
        <w:rPr>
          <w:rtl w:val="0"/>
        </w:rPr>
      </w:r>
    </w:p>
    <w:p w:rsidR="00000000" w:rsidDel="00000000" w:rsidP="00000000" w:rsidRDefault="00000000" w:rsidRPr="00000000" w14:paraId="00000030">
      <w:pPr>
        <w:spacing w:line="240" w:lineRule="auto"/>
        <w:ind w:left="-284" w:right="-376" w:firstLine="0"/>
        <w:jc w:val="both"/>
        <w:rPr>
          <w:rFonts w:ascii="Times New Roman" w:cs="Times New Roman" w:eastAsia="Times New Roman" w:hAnsi="Times New Roman"/>
          <w:sz w:val="24"/>
          <w:szCs w:val="24"/>
        </w:rPr>
      </w:pPr>
      <w:hyperlink r:id="rId9">
        <w:r w:rsidDel="00000000" w:rsidR="00000000" w:rsidRPr="00000000">
          <w:rPr>
            <w:color w:val="1155cc"/>
            <w:sz w:val="20"/>
            <w:szCs w:val="20"/>
            <w:u w:val="single"/>
            <w:rtl w:val="0"/>
          </w:rPr>
          <w:t xml:space="preserve">michael.garcia@another.co</w:t>
        </w:r>
      </w:hyperlink>
      <w:r w:rsidDel="00000000" w:rsidR="00000000" w:rsidRPr="00000000">
        <w:rPr>
          <w:rtl w:val="0"/>
        </w:rPr>
      </w:r>
    </w:p>
    <w:p w:rsidR="00000000" w:rsidDel="00000000" w:rsidP="00000000" w:rsidRDefault="00000000" w:rsidRPr="00000000" w14:paraId="00000031">
      <w:pPr>
        <w:spacing w:line="240" w:lineRule="auto"/>
        <w:ind w:left="-284" w:right="-376" w:firstLine="0"/>
        <w:jc w:val="both"/>
        <w:rPr>
          <w:rFonts w:ascii="Times New Roman" w:cs="Times New Roman" w:eastAsia="Times New Roman" w:hAnsi="Times New Roman"/>
          <w:sz w:val="24"/>
          <w:szCs w:val="24"/>
        </w:rPr>
      </w:pPr>
      <w:r w:rsidDel="00000000" w:rsidR="00000000" w:rsidRPr="00000000">
        <w:rPr>
          <w:color w:val="000000"/>
          <w:sz w:val="20"/>
          <w:szCs w:val="20"/>
          <w:rtl w:val="0"/>
        </w:rPr>
        <w:t xml:space="preserve">Cel. 55 3488 2108</w:t>
      </w:r>
      <w:r w:rsidDel="00000000" w:rsidR="00000000" w:rsidRPr="00000000">
        <w:rPr>
          <w:rtl w:val="0"/>
        </w:rPr>
      </w:r>
    </w:p>
    <w:p w:rsidR="00000000" w:rsidDel="00000000" w:rsidP="00000000" w:rsidRDefault="00000000" w:rsidRPr="00000000" w14:paraId="00000032">
      <w:pPr>
        <w:spacing w:line="240" w:lineRule="auto"/>
        <w:ind w:left="-284" w:right="-376" w:firstLine="0"/>
        <w:jc w:val="both"/>
        <w:rPr>
          <w:b w:val="1"/>
          <w:sz w:val="20"/>
          <w:szCs w:val="20"/>
        </w:rPr>
      </w:pPr>
      <w:bookmarkStart w:colFirst="0" w:colLast="0" w:name="_heading=h.gjdgxs" w:id="0"/>
      <w:bookmarkEnd w:id="0"/>
      <w:r w:rsidDel="00000000" w:rsidR="00000000" w:rsidRPr="00000000">
        <w:rPr>
          <w:rtl w:val="0"/>
        </w:rPr>
      </w:r>
    </w:p>
    <w:sectPr>
      <w:headerReference r:id="rId10" w:type="default"/>
      <w:pgSz w:h="15840" w:w="12240" w:orient="portrait"/>
      <w:pgMar w:bottom="1440" w:top="1440" w:left="1710" w:right="17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jc w:val="right"/>
      <w:rPr/>
    </w:pPr>
    <w:r w:rsidDel="00000000" w:rsidR="00000000" w:rsidRPr="00000000">
      <w:rPr/>
      <w:drawing>
        <wp:inline distB="114300" distT="114300" distL="114300" distR="114300">
          <wp:extent cx="1722112" cy="60347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2112" cy="6034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paragraph" w:styleId="Textodeglobo">
    <w:name w:val="Balloon Text"/>
    <w:basedOn w:val="Normal"/>
    <w:link w:val="TextodegloboCar"/>
    <w:uiPriority w:val="99"/>
    <w:semiHidden w:val="1"/>
    <w:unhideWhenUsed w:val="1"/>
    <w:rsid w:val="00C62391"/>
    <w:pPr>
      <w:spacing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C62391"/>
    <w:rPr>
      <w:rFonts w:ascii="Segoe UI" w:cs="Segoe UI" w:hAnsi="Segoe UI"/>
      <w:sz w:val="18"/>
      <w:szCs w:val="18"/>
    </w:rPr>
  </w:style>
  <w:style w:type="paragraph" w:styleId="NormalWeb">
    <w:name w:val="Normal (Web)"/>
    <w:basedOn w:val="Normal"/>
    <w:uiPriority w:val="99"/>
    <w:semiHidden w:val="1"/>
    <w:unhideWhenUsed w:val="1"/>
    <w:rsid w:val="00643383"/>
    <w:pPr>
      <w:spacing w:after="100" w:afterAutospacing="1" w:before="100" w:beforeAutospacing="1" w:line="240" w:lineRule="auto"/>
    </w:pPr>
    <w:rPr>
      <w:rFonts w:ascii="Times New Roman" w:cs="Times New Roman" w:eastAsia="Times New Roman" w:hAnsi="Times New Roman"/>
      <w:sz w:val="24"/>
      <w:szCs w:val="24"/>
      <w:lang w:val="es-MX"/>
    </w:rPr>
  </w:style>
  <w:style w:type="character" w:styleId="Hipervnculo">
    <w:name w:val="Hyperlink"/>
    <w:basedOn w:val="Fuentedeprrafopredeter"/>
    <w:uiPriority w:val="99"/>
    <w:semiHidden w:val="1"/>
    <w:unhideWhenUsed w:val="1"/>
    <w:rsid w:val="00643383"/>
    <w:rPr>
      <w:color w:val="0000ff"/>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michael.garcia@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qualitas.com.mx/web/qmx/inicio" TargetMode="External"/><Relationship Id="rId8" Type="http://schemas.openxmlformats.org/officeDocument/2006/relationships/hyperlink" Target="mailto:fernanda.meza@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MYQURUg/9zy8QzSeK39fVO/tTg==">AMUW2mVi6wQZiFwI0+kWk3Ia+exq6mNLmNWpHgQzeJ8I+3efqJiTiBOpK0qO4swAvJrVNGogVvdceOXJjbfa4bLg6rs4GYIbReEo04X6RKGp5iGsjLkPX4HEiKcRZAdGx3OQK1zzFbN5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2020-10-21T18:30:00Z</dcterms:created>
  <dc:creator>Rosaura Medina [subgte.comunicacion med. digit.]</dc:creator>
</cp:coreProperties>
</file>